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EE1" w:rsidRDefault="00DD610F" w:rsidP="005D2EE1">
      <w:pPr>
        <w:jc w:val="center"/>
        <w:rPr>
          <w:rFonts w:eastAsia="標楷體" w:hAnsi="標楷體" w:hint="eastAsia"/>
        </w:rPr>
      </w:pPr>
      <w:r>
        <w:rPr>
          <w:rFonts w:eastAsia="標楷體" w:hAnsi="標楷體" w:hint="eastAsia"/>
        </w:rPr>
        <w:t>亞里斯多德式</w:t>
      </w:r>
      <w:r w:rsidR="005D2EE1" w:rsidRPr="00763201">
        <w:rPr>
          <w:rFonts w:eastAsia="標楷體" w:hAnsi="標楷體"/>
        </w:rPr>
        <w:t>力</w:t>
      </w:r>
      <w:r>
        <w:rPr>
          <w:rFonts w:eastAsia="標楷體" w:hint="eastAsia"/>
        </w:rPr>
        <w:t>量</w:t>
      </w:r>
      <w:r w:rsidR="00490B8F">
        <w:rPr>
          <w:rFonts w:eastAsia="標楷體" w:hAnsi="標楷體" w:hint="eastAsia"/>
        </w:rPr>
        <w:t>之</w:t>
      </w:r>
      <w:r w:rsidR="005D2EE1" w:rsidRPr="00763201">
        <w:rPr>
          <w:rFonts w:eastAsia="標楷體" w:hAnsi="標楷體"/>
        </w:rPr>
        <w:t>知識</w:t>
      </w:r>
      <w:r w:rsidR="005D2EE1">
        <w:rPr>
          <w:rFonts w:eastAsia="標楷體" w:hAnsi="標楷體" w:hint="eastAsia"/>
        </w:rPr>
        <w:t>：</w:t>
      </w:r>
    </w:p>
    <w:p w:rsidR="00DD610F" w:rsidRDefault="00DD610F" w:rsidP="005D2EE1">
      <w:pPr>
        <w:jc w:val="center"/>
        <w:rPr>
          <w:rFonts w:eastAsia="標楷體" w:hAnsi="標楷體" w:hint="eastAsia"/>
        </w:rPr>
      </w:pPr>
      <w:r w:rsidRPr="00763201">
        <w:rPr>
          <w:rFonts w:eastAsia="標楷體" w:hAnsi="標楷體"/>
        </w:rPr>
        <w:t>一項</w:t>
      </w:r>
      <w:r w:rsidRPr="00710A47">
        <w:rPr>
          <w:rFonts w:ascii="標楷體" w:eastAsia="標楷體" w:hAnsi="標楷體" w:hint="eastAsia"/>
        </w:rPr>
        <w:t>引導</w:t>
      </w:r>
      <w:r w:rsidRPr="00763201">
        <w:rPr>
          <w:rFonts w:eastAsia="標楷體" w:hAnsi="標楷體"/>
        </w:rPr>
        <w:t>起因結構的</w:t>
      </w:r>
      <w:r w:rsidRPr="00710A47">
        <w:rPr>
          <w:rFonts w:ascii="標楷體" w:eastAsia="標楷體" w:hAnsi="標楷體" w:hint="eastAsia"/>
        </w:rPr>
        <w:t>科學發現</w:t>
      </w:r>
      <w:r>
        <w:rPr>
          <w:rFonts w:ascii="標楷體" w:eastAsia="標楷體" w:hAnsi="標楷體" w:hint="eastAsia"/>
        </w:rPr>
        <w:t>之</w:t>
      </w:r>
      <w:r w:rsidRPr="00710A47">
        <w:rPr>
          <w:rFonts w:ascii="標楷體" w:eastAsia="標楷體" w:hAnsi="標楷體" w:hint="eastAsia"/>
        </w:rPr>
        <w:t>概念</w:t>
      </w:r>
    </w:p>
    <w:p w:rsidR="00DD610F" w:rsidRDefault="005D2EE1" w:rsidP="005D2EE1">
      <w:pPr>
        <w:jc w:val="center"/>
        <w:rPr>
          <w:rFonts w:eastAsia="標楷體" w:hint="eastAsia"/>
        </w:rPr>
      </w:pPr>
      <w:r w:rsidRPr="00376BE3">
        <w:rPr>
          <w:rFonts w:eastAsia="標楷體"/>
        </w:rPr>
        <w:t xml:space="preserve">Knowledge of </w:t>
      </w:r>
      <w:r w:rsidR="00DD610F">
        <w:rPr>
          <w:rFonts w:eastAsia="標楷體" w:hint="eastAsia"/>
        </w:rPr>
        <w:t>Aristotelian</w:t>
      </w:r>
      <w:r w:rsidRPr="00376BE3">
        <w:rPr>
          <w:rFonts w:eastAsia="標楷體"/>
        </w:rPr>
        <w:t xml:space="preserve"> Powers</w:t>
      </w:r>
      <w:r w:rsidR="00DD610F">
        <w:rPr>
          <w:rFonts w:eastAsia="標楷體" w:hint="eastAsia"/>
        </w:rPr>
        <w:t>:</w:t>
      </w:r>
    </w:p>
    <w:p w:rsidR="005D2EE1" w:rsidRPr="005D2EE1" w:rsidRDefault="005D2EE1" w:rsidP="005D2EE1">
      <w:pPr>
        <w:jc w:val="center"/>
        <w:rPr>
          <w:rFonts w:eastAsia="標楷體" w:hAnsi="標楷體" w:hint="eastAsia"/>
        </w:rPr>
      </w:pPr>
      <w:r w:rsidRPr="00376BE3">
        <w:rPr>
          <w:rFonts w:eastAsia="標楷體"/>
        </w:rPr>
        <w:t>A Guiding Idea for Scientific Discovery of Causal Structure</w:t>
      </w:r>
    </w:p>
    <w:p w:rsidR="005D2EE1" w:rsidRDefault="005D2EE1" w:rsidP="005D2EE1">
      <w:pPr>
        <w:jc w:val="center"/>
        <w:rPr>
          <w:rFonts w:hint="eastAsia"/>
        </w:rPr>
      </w:pPr>
    </w:p>
    <w:p w:rsidR="005D2EE1" w:rsidRPr="00710A47" w:rsidRDefault="005D2EE1" w:rsidP="005D2EE1">
      <w:pPr>
        <w:jc w:val="center"/>
        <w:rPr>
          <w:rFonts w:ascii="標楷體" w:eastAsia="標楷體" w:hAnsi="標楷體" w:hint="eastAsia"/>
          <w:b/>
          <w:u w:val="single"/>
        </w:rPr>
      </w:pPr>
      <w:r w:rsidRPr="00710A47">
        <w:rPr>
          <w:rFonts w:ascii="標楷體" w:eastAsia="標楷體" w:hAnsi="標楷體" w:hint="eastAsia"/>
          <w:b/>
          <w:u w:val="single"/>
        </w:rPr>
        <w:t>摘要</w:t>
      </w:r>
    </w:p>
    <w:p w:rsidR="005D2EE1" w:rsidRPr="00710A47" w:rsidRDefault="005D2EE1" w:rsidP="005D2EE1">
      <w:pPr>
        <w:rPr>
          <w:rFonts w:ascii="標楷體" w:eastAsia="標楷體" w:hAnsi="標楷體" w:hint="eastAsia"/>
        </w:rPr>
      </w:pPr>
    </w:p>
    <w:p w:rsidR="005D2EE1" w:rsidRPr="00710A47" w:rsidRDefault="005D2EE1" w:rsidP="005D2EE1">
      <w:pPr>
        <w:ind w:firstLineChars="177" w:firstLine="425"/>
        <w:rPr>
          <w:rFonts w:ascii="標楷體" w:eastAsia="標楷體" w:hAnsi="標楷體" w:hint="eastAsia"/>
        </w:rPr>
      </w:pPr>
      <w:r w:rsidRPr="00710A47">
        <w:rPr>
          <w:rFonts w:ascii="標楷體" w:eastAsia="標楷體" w:hAnsi="標楷體" w:hint="eastAsia"/>
        </w:rPr>
        <w:t>科學家究竟是如何理解目標現象的生成？他</w:t>
      </w:r>
      <w:r w:rsidR="00DD610F">
        <w:rPr>
          <w:rFonts w:ascii="標楷體" w:eastAsia="標楷體" w:hAnsi="標楷體" w:hint="eastAsia"/>
        </w:rPr>
        <w:t>們是藉由與該目標現象相關的規律定律之助來成就這項理解，抑或藉由</w:t>
      </w:r>
      <w:r w:rsidRPr="00710A47">
        <w:rPr>
          <w:rFonts w:ascii="標楷體" w:eastAsia="標楷體" w:hAnsi="標楷體" w:hint="eastAsia"/>
        </w:rPr>
        <w:t>古典的</w:t>
      </w:r>
      <w:r w:rsidR="001B6211">
        <w:rPr>
          <w:rFonts w:eastAsia="標楷體" w:hAnsi="標楷體" w:hint="eastAsia"/>
        </w:rPr>
        <w:t>亞里斯多德式</w:t>
      </w:r>
      <w:r w:rsidR="001B6211" w:rsidRPr="00763201">
        <w:rPr>
          <w:rFonts w:eastAsia="標楷體" w:hAnsi="標楷體"/>
        </w:rPr>
        <w:t>力</w:t>
      </w:r>
      <w:r w:rsidR="001B6211">
        <w:rPr>
          <w:rFonts w:eastAsia="標楷體" w:hint="eastAsia"/>
        </w:rPr>
        <w:t>量</w:t>
      </w:r>
      <w:r w:rsidRPr="00710A47">
        <w:rPr>
          <w:rFonts w:ascii="標楷體" w:eastAsia="標楷體" w:hAnsi="標楷體" w:hint="eastAsia"/>
        </w:rPr>
        <w:t>來理解？</w:t>
      </w:r>
      <w:r w:rsidRPr="00710A47">
        <w:rPr>
          <w:rFonts w:ascii="標楷體" w:eastAsia="標楷體" w:hAnsi="標楷體" w:cs="新細明體" w:hint="eastAsia"/>
        </w:rPr>
        <w:t>二十世紀七Ｏ年代中葉之前，經驗論的科學哲學家普遍傾向於認為答案是前者。然而，由於藉由</w:t>
      </w:r>
      <w:r w:rsidRPr="00710A47">
        <w:rPr>
          <w:rFonts w:ascii="標楷體" w:eastAsia="標楷體" w:hAnsi="標楷體" w:hint="eastAsia"/>
        </w:rPr>
        <w:t>古典的</w:t>
      </w:r>
      <w:r w:rsidR="001B6211">
        <w:rPr>
          <w:rFonts w:eastAsia="標楷體" w:hAnsi="標楷體" w:hint="eastAsia"/>
        </w:rPr>
        <w:t>亞里斯多德式</w:t>
      </w:r>
      <w:r w:rsidR="001B6211" w:rsidRPr="00763201">
        <w:rPr>
          <w:rFonts w:eastAsia="標楷體" w:hAnsi="標楷體"/>
        </w:rPr>
        <w:t>力</w:t>
      </w:r>
      <w:r w:rsidR="001B6211">
        <w:rPr>
          <w:rFonts w:eastAsia="標楷體" w:hint="eastAsia"/>
        </w:rPr>
        <w:t>量</w:t>
      </w:r>
      <w:r w:rsidRPr="00710A47">
        <w:rPr>
          <w:rFonts w:ascii="標楷體" w:eastAsia="標楷體" w:hAnsi="標楷體" w:hint="eastAsia"/>
        </w:rPr>
        <w:t>之概念較有可能來合理解釋為何普遍存在著科學家</w:t>
      </w:r>
      <w:r w:rsidRPr="00710A47">
        <w:rPr>
          <w:rFonts w:ascii="標楷體" w:eastAsia="標楷體" w:hAnsi="標楷體" w:cs="新細明體" w:hint="eastAsia"/>
        </w:rPr>
        <w:t>「不願意放棄遭經驗否證的假說」之現象，故部份當代科學哲學家遂轉向於認為：</w:t>
      </w:r>
      <w:r w:rsidR="001B6211">
        <w:rPr>
          <w:rFonts w:eastAsia="標楷體" w:hAnsi="標楷體" w:hint="eastAsia"/>
        </w:rPr>
        <w:t>亞里斯多德式</w:t>
      </w:r>
      <w:r w:rsidR="001B6211" w:rsidRPr="00763201">
        <w:rPr>
          <w:rFonts w:eastAsia="標楷體" w:hAnsi="標楷體"/>
        </w:rPr>
        <w:t>力</w:t>
      </w:r>
      <w:r w:rsidR="001B6211">
        <w:rPr>
          <w:rFonts w:eastAsia="標楷體" w:hint="eastAsia"/>
        </w:rPr>
        <w:t>量</w:t>
      </w:r>
      <w:r w:rsidRPr="00710A47">
        <w:rPr>
          <w:rFonts w:ascii="標楷體" w:eastAsia="標楷體" w:hAnsi="標楷體" w:hint="eastAsia"/>
        </w:rPr>
        <w:t>這項概念是引導科學家進行科學發現的主要概念。</w:t>
      </w:r>
    </w:p>
    <w:p w:rsidR="005D2EE1" w:rsidRPr="00710A47" w:rsidRDefault="001B6211" w:rsidP="005D2EE1">
      <w:pPr>
        <w:ind w:firstLineChars="177" w:firstLine="425"/>
        <w:rPr>
          <w:rFonts w:ascii="標楷體" w:eastAsia="標楷體" w:hAnsi="標楷體" w:hint="eastAsia"/>
        </w:rPr>
      </w:pPr>
      <w:r>
        <w:rPr>
          <w:rFonts w:eastAsia="標楷體" w:hAnsi="標楷體" w:hint="eastAsia"/>
        </w:rPr>
        <w:t>亞里斯多德式</w:t>
      </w:r>
      <w:r w:rsidRPr="00763201">
        <w:rPr>
          <w:rFonts w:eastAsia="標楷體" w:hAnsi="標楷體"/>
        </w:rPr>
        <w:t>力</w:t>
      </w:r>
      <w:r>
        <w:rPr>
          <w:rFonts w:eastAsia="標楷體" w:hint="eastAsia"/>
        </w:rPr>
        <w:t>量</w:t>
      </w:r>
      <w:r w:rsidR="005D2EE1" w:rsidRPr="00710A47">
        <w:rPr>
          <w:rFonts w:ascii="標楷體" w:eastAsia="標楷體" w:hAnsi="標楷體" w:hint="eastAsia"/>
        </w:rPr>
        <w:t>之概念之所以具有這項引導功能的關鍵在於：科學家能藉由</w:t>
      </w:r>
      <w:r>
        <w:rPr>
          <w:rFonts w:ascii="標楷體" w:eastAsia="標楷體" w:hAnsi="標楷體" w:hint="eastAsia"/>
        </w:rPr>
        <w:t>該</w:t>
      </w:r>
      <w:r w:rsidR="005D2EE1" w:rsidRPr="00710A47">
        <w:rPr>
          <w:rFonts w:ascii="標楷體" w:eastAsia="標楷體" w:hAnsi="標楷體" w:hint="eastAsia"/>
        </w:rPr>
        <w:t>概念所推導出的另一項概念</w:t>
      </w:r>
      <w:r w:rsidR="005D2EE1" w:rsidRPr="00710A47">
        <w:rPr>
          <w:rFonts w:ascii="標楷體" w:eastAsia="標楷體" w:hAnsi="標楷體"/>
        </w:rPr>
        <w:t>—</w:t>
      </w:r>
      <w:r w:rsidR="005D2EE1" w:rsidRPr="00710A47">
        <w:rPr>
          <w:rFonts w:ascii="標楷體" w:eastAsia="標楷體" w:hAnsi="標楷體" w:hint="eastAsia"/>
        </w:rPr>
        <w:t>亦即，起因結構(或定律機器)之概念</w:t>
      </w:r>
      <w:r w:rsidR="005D2EE1" w:rsidRPr="00710A47">
        <w:rPr>
          <w:rFonts w:ascii="標楷體" w:eastAsia="標楷體" w:hAnsi="標楷體"/>
        </w:rPr>
        <w:t>—</w:t>
      </w:r>
      <w:r w:rsidR="005D2EE1" w:rsidRPr="00710A47">
        <w:rPr>
          <w:rFonts w:ascii="標楷體" w:eastAsia="標楷體" w:hAnsi="標楷體" w:hint="eastAsia"/>
        </w:rPr>
        <w:t>偵測出結構內的各構成因素之間的</w:t>
      </w:r>
      <w:r w:rsidRPr="00763201">
        <w:rPr>
          <w:rFonts w:eastAsia="標楷體" w:hAnsi="標楷體"/>
        </w:rPr>
        <w:t>力</w:t>
      </w:r>
      <w:r>
        <w:rPr>
          <w:rFonts w:eastAsia="標楷體" w:hint="eastAsia"/>
        </w:rPr>
        <w:t>量</w:t>
      </w:r>
      <w:r w:rsidR="005D2EE1" w:rsidRPr="00710A47">
        <w:rPr>
          <w:rFonts w:ascii="標楷體" w:eastAsia="標楷體" w:hAnsi="標楷體" w:hint="eastAsia"/>
        </w:rPr>
        <w:t>交互作用之變化過程而得出穩定的規律關係；而在這項規律關係與起因結構的基礎上，科學家能為目標現象之所由發生提出詳細的具體說明。根據</w:t>
      </w:r>
      <w:r w:rsidR="005D2EE1" w:rsidRPr="00710A47">
        <w:rPr>
          <w:rFonts w:ascii="標楷體" w:eastAsia="標楷體" w:hAnsi="標楷體" w:cs="新細明體" w:hint="eastAsia"/>
        </w:rPr>
        <w:t>卡特萊特與</w:t>
      </w:r>
      <w:r w:rsidR="005D2EE1" w:rsidRPr="00710A47">
        <w:rPr>
          <w:rFonts w:ascii="標楷體" w:eastAsia="標楷體" w:hAnsi="標楷體" w:hint="eastAsia"/>
        </w:rPr>
        <w:t>潘</w:t>
      </w:r>
      <w:r w:rsidR="005D2EE1" w:rsidRPr="00710A47">
        <w:rPr>
          <w:rFonts w:ascii="標楷體" w:eastAsia="標楷體" w:hAnsi="標楷體" w:cs="新細明體" w:hint="eastAsia"/>
        </w:rPr>
        <w:t>伯頓的看法，就是這項能夠指示出變化過程的定律機器才使得「</w:t>
      </w:r>
      <w:r w:rsidR="005D2EE1" w:rsidRPr="00710A47">
        <w:rPr>
          <w:rFonts w:ascii="標楷體" w:eastAsia="標楷體" w:hAnsi="標楷體" w:hint="eastAsia"/>
        </w:rPr>
        <w:t>何謂-如何-所謂證據」具有了意義，並進而得以幫助科學家完成科學發現的工作。</w:t>
      </w:r>
    </w:p>
    <w:p w:rsidR="005D2EE1" w:rsidRPr="00710A47" w:rsidRDefault="001B6211" w:rsidP="005D2EE1">
      <w:pPr>
        <w:ind w:firstLineChars="177" w:firstLine="425"/>
        <w:rPr>
          <w:rFonts w:ascii="標楷體" w:eastAsia="標楷體" w:hAnsi="標楷體" w:cs="新細明體" w:hint="eastAsia"/>
        </w:rPr>
      </w:pPr>
      <w:r>
        <w:rPr>
          <w:rFonts w:eastAsia="標楷體" w:hAnsi="標楷體" w:hint="eastAsia"/>
        </w:rPr>
        <w:t>亞里斯多德式</w:t>
      </w:r>
      <w:r w:rsidRPr="00763201">
        <w:rPr>
          <w:rFonts w:eastAsia="標楷體" w:hAnsi="標楷體"/>
        </w:rPr>
        <w:t>力</w:t>
      </w:r>
      <w:r>
        <w:rPr>
          <w:rFonts w:eastAsia="標楷體" w:hint="eastAsia"/>
        </w:rPr>
        <w:t>量</w:t>
      </w:r>
      <w:r w:rsidR="005D2EE1" w:rsidRPr="00710A47">
        <w:rPr>
          <w:rFonts w:ascii="標楷體" w:eastAsia="標楷體" w:hAnsi="標楷體" w:cs="新細明體" w:hint="eastAsia"/>
        </w:rPr>
        <w:t>與定律機器的概念之另一項功能，就是能為因果論者與機制論者長久以來有關起因性</w:t>
      </w:r>
      <w:r w:rsidR="005D2EE1" w:rsidRPr="00710A47">
        <w:rPr>
          <w:rFonts w:ascii="標楷體" w:eastAsia="標楷體" w:hAnsi="標楷體"/>
        </w:rPr>
        <w:t>或機制究</w:t>
      </w:r>
      <w:r w:rsidR="005D2EE1" w:rsidRPr="00710A47">
        <w:rPr>
          <w:rFonts w:ascii="標楷體" w:eastAsia="標楷體" w:hAnsi="標楷體" w:cs="新細明體" w:hint="eastAsia"/>
        </w:rPr>
        <w:t>竟孰較為基礎的爭論，提供一項中間立場的解決方案。根據泰伯利的觀點，有關機制討論的當務之急，就在於提出一項可以結合葛蘭能的交互作用理論與</w:t>
      </w:r>
      <w:r w:rsidR="005D2EE1" w:rsidRPr="00710A47">
        <w:rPr>
          <w:rFonts w:ascii="標楷體" w:eastAsia="標楷體" w:hAnsi="標楷體" w:hint="eastAsia"/>
        </w:rPr>
        <w:t>莫海默、達頓、與克雷佛的活動理論之優點的機制之新概念。</w:t>
      </w:r>
      <w:r w:rsidR="005D2EE1" w:rsidRPr="00710A47">
        <w:rPr>
          <w:rFonts w:ascii="標楷體" w:eastAsia="標楷體" w:hAnsi="標楷體" w:cs="新細明體" w:hint="eastAsia"/>
        </w:rPr>
        <w:t>在能夠為「</w:t>
      </w:r>
      <w:r w:rsidR="005D2EE1" w:rsidRPr="00710A47">
        <w:rPr>
          <w:rFonts w:ascii="標楷體" w:eastAsia="標楷體" w:hAnsi="標楷體" w:hint="eastAsia"/>
        </w:rPr>
        <w:t>何謂-如何-所謂證據」提供更為完善的後設說明之基礎上，</w:t>
      </w:r>
      <w:r w:rsidR="005D2EE1" w:rsidRPr="00710A47">
        <w:rPr>
          <w:rFonts w:ascii="標楷體" w:eastAsia="標楷體" w:hAnsi="標楷體" w:cs="新細明體" w:hint="eastAsia"/>
        </w:rPr>
        <w:t>卡特萊特與</w:t>
      </w:r>
      <w:r w:rsidR="005D2EE1" w:rsidRPr="00710A47">
        <w:rPr>
          <w:rFonts w:ascii="標楷體" w:eastAsia="標楷體" w:hAnsi="標楷體" w:hint="eastAsia"/>
        </w:rPr>
        <w:t>潘</w:t>
      </w:r>
      <w:r w:rsidR="005D2EE1" w:rsidRPr="00710A47">
        <w:rPr>
          <w:rFonts w:ascii="標楷體" w:eastAsia="標楷體" w:hAnsi="標楷體" w:cs="新細明體" w:hint="eastAsia"/>
        </w:rPr>
        <w:t>伯頓有關</w:t>
      </w:r>
      <w:r>
        <w:rPr>
          <w:rFonts w:eastAsia="標楷體" w:hAnsi="標楷體" w:hint="eastAsia"/>
        </w:rPr>
        <w:t>亞里斯多德式</w:t>
      </w:r>
      <w:r w:rsidRPr="00763201">
        <w:rPr>
          <w:rFonts w:eastAsia="標楷體" w:hAnsi="標楷體"/>
        </w:rPr>
        <w:t>力</w:t>
      </w:r>
      <w:r>
        <w:rPr>
          <w:rFonts w:eastAsia="標楷體" w:hint="eastAsia"/>
        </w:rPr>
        <w:t>量</w:t>
      </w:r>
      <w:r w:rsidR="005D2EE1" w:rsidRPr="00710A47">
        <w:rPr>
          <w:rFonts w:ascii="標楷體" w:eastAsia="標楷體" w:hAnsi="標楷體" w:cs="新細明體" w:hint="eastAsia"/>
        </w:rPr>
        <w:t>與定律機器的概念是的確能成就一項折衷的後設論述之立場，而為因果論者與機制論者的爭論，提供一項中間立場的解決方案。</w:t>
      </w:r>
    </w:p>
    <w:p w:rsidR="005D2EE1" w:rsidRPr="00710A47" w:rsidRDefault="005D2EE1" w:rsidP="005D2EE1">
      <w:pPr>
        <w:ind w:firstLineChars="177" w:firstLine="425"/>
        <w:rPr>
          <w:rFonts w:ascii="標楷體" w:eastAsia="標楷體" w:hAnsi="標楷體" w:cs="新細明體" w:hint="eastAsia"/>
        </w:rPr>
      </w:pPr>
    </w:p>
    <w:p w:rsidR="005D2EE1" w:rsidRPr="00710A47" w:rsidRDefault="005D2EE1" w:rsidP="005D2EE1">
      <w:pPr>
        <w:ind w:leftChars="1" w:left="991" w:hangingChars="412" w:hanging="989"/>
        <w:rPr>
          <w:rFonts w:ascii="標楷體" w:eastAsia="標楷體" w:hAnsi="標楷體" w:hint="eastAsia"/>
        </w:rPr>
      </w:pPr>
      <w:r w:rsidRPr="00710A47">
        <w:rPr>
          <w:rFonts w:ascii="標楷體" w:eastAsia="標楷體" w:hAnsi="標楷體" w:hint="eastAsia"/>
        </w:rPr>
        <w:t>關鍵字：</w:t>
      </w:r>
      <w:r w:rsidR="001B6211">
        <w:rPr>
          <w:rFonts w:eastAsia="標楷體" w:hAnsi="標楷體" w:hint="eastAsia"/>
        </w:rPr>
        <w:t>亞里斯多德式</w:t>
      </w:r>
      <w:r w:rsidR="001B6211" w:rsidRPr="00763201">
        <w:rPr>
          <w:rFonts w:eastAsia="標楷體" w:hAnsi="標楷體"/>
        </w:rPr>
        <w:t>力</w:t>
      </w:r>
      <w:r w:rsidR="001B6211">
        <w:rPr>
          <w:rFonts w:eastAsia="標楷體" w:hint="eastAsia"/>
        </w:rPr>
        <w:t>量</w:t>
      </w:r>
      <w:r w:rsidR="001B6211" w:rsidRPr="00710A47">
        <w:rPr>
          <w:rFonts w:ascii="標楷體" w:eastAsia="標楷體" w:hAnsi="標楷體" w:hint="eastAsia"/>
        </w:rPr>
        <w:t>、儲能、</w:t>
      </w:r>
      <w:r w:rsidRPr="00710A47">
        <w:rPr>
          <w:rFonts w:ascii="標楷體" w:eastAsia="標楷體" w:hAnsi="標楷體" w:hint="eastAsia"/>
        </w:rPr>
        <w:t>因果性(起因性)、因果力(起因力)、因果結構(起因結構)、定律機器、</w:t>
      </w:r>
      <w:r w:rsidR="001B6211" w:rsidRPr="00710A47">
        <w:rPr>
          <w:rFonts w:ascii="標楷體" w:eastAsia="標楷體" w:hAnsi="標楷體" w:hint="eastAsia"/>
        </w:rPr>
        <w:t>機制、</w:t>
      </w:r>
      <w:r w:rsidRPr="00710A47">
        <w:rPr>
          <w:rFonts w:ascii="標楷體" w:eastAsia="標楷體" w:hAnsi="標楷體" w:hint="eastAsia"/>
        </w:rPr>
        <w:t>科學發現</w:t>
      </w:r>
    </w:p>
    <w:p w:rsidR="005D2EE1" w:rsidRPr="00875BBF" w:rsidRDefault="005D2EE1" w:rsidP="005D2EE1">
      <w:pPr>
        <w:jc w:val="center"/>
        <w:rPr>
          <w:rFonts w:eastAsia="標楷體" w:cs="新細明體" w:hint="eastAsia"/>
        </w:rPr>
      </w:pPr>
    </w:p>
    <w:p w:rsidR="00B87AB5" w:rsidRDefault="00B87AB5"/>
    <w:sectPr w:rsidR="00B87AB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0A7" w:rsidRDefault="00B200A7">
      <w:r>
        <w:separator/>
      </w:r>
    </w:p>
  </w:endnote>
  <w:endnote w:type="continuationSeparator" w:id="0">
    <w:p w:rsidR="00B200A7" w:rsidRDefault="00B200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0A7" w:rsidRDefault="00B200A7">
      <w:r>
        <w:separator/>
      </w:r>
    </w:p>
  </w:footnote>
  <w:footnote w:type="continuationSeparator" w:id="0">
    <w:p w:rsidR="00B200A7" w:rsidRDefault="00B200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2EE1"/>
    <w:rsid w:val="001B6211"/>
    <w:rsid w:val="001C6D1A"/>
    <w:rsid w:val="00412FE9"/>
    <w:rsid w:val="00490B8F"/>
    <w:rsid w:val="005D2EE1"/>
    <w:rsid w:val="007460CC"/>
    <w:rsid w:val="00816600"/>
    <w:rsid w:val="00961ABE"/>
    <w:rsid w:val="00980347"/>
    <w:rsid w:val="00B200A7"/>
    <w:rsid w:val="00B87AB5"/>
    <w:rsid w:val="00DD6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EE1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stchen</dc:creator>
  <cp:lastModifiedBy>Fei-Ting Chen</cp:lastModifiedBy>
  <cp:revision>2</cp:revision>
  <dcterms:created xsi:type="dcterms:W3CDTF">2014-08-31T02:39:00Z</dcterms:created>
  <dcterms:modified xsi:type="dcterms:W3CDTF">2014-08-31T02:39:00Z</dcterms:modified>
</cp:coreProperties>
</file>