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C5" w:rsidRPr="00E75012" w:rsidRDefault="00BA53C5" w:rsidP="00BA53C5">
      <w:pPr>
        <w:spacing w:before="360" w:after="360"/>
        <w:jc w:val="center"/>
        <w:rPr>
          <w:rFonts w:ascii="Palatino Linotype" w:hAnsi="Palatino Linotype" w:cs="Times New Roman"/>
          <w:sz w:val="28"/>
          <w:szCs w:val="28"/>
        </w:rPr>
      </w:pPr>
      <w:r w:rsidRPr="00E75012">
        <w:rPr>
          <w:rFonts w:ascii="Palatino Linotype" w:hAnsi="Palatino Linotype" w:cs="Times New Roman"/>
          <w:sz w:val="28"/>
          <w:szCs w:val="28"/>
        </w:rPr>
        <w:t xml:space="preserve">On the Five Analogies in Aristotle’s </w:t>
      </w:r>
      <w:r w:rsidRPr="00E75012">
        <w:rPr>
          <w:rFonts w:ascii="Palatino Linotype" w:hAnsi="Palatino Linotype" w:cs="Times New Roman"/>
          <w:i/>
          <w:sz w:val="28"/>
          <w:szCs w:val="28"/>
        </w:rPr>
        <w:t>Metaphysics</w:t>
      </w:r>
      <w:r w:rsidRPr="00E75012">
        <w:rPr>
          <w:rFonts w:ascii="Palatino Linotype" w:hAnsi="Palatino Linotype" w:cs="Times New Roman"/>
          <w:sz w:val="28"/>
          <w:szCs w:val="28"/>
        </w:rPr>
        <w:t xml:space="preserve"> IX.6</w:t>
      </w:r>
    </w:p>
    <w:p w:rsidR="00BA53C5" w:rsidRPr="00E75012" w:rsidRDefault="00BA53C5" w:rsidP="00BA53C5">
      <w:pPr>
        <w:spacing w:before="360" w:after="360"/>
        <w:jc w:val="center"/>
        <w:rPr>
          <w:rFonts w:ascii="Palatino Linotype" w:hAnsi="Palatino Linotype" w:cs="Times New Roman"/>
        </w:rPr>
      </w:pPr>
      <w:r w:rsidRPr="00E75012">
        <w:rPr>
          <w:rFonts w:ascii="Palatino Linotype" w:hAnsi="Times New Roman" w:cs="Times New Roman"/>
        </w:rPr>
        <w:t>陳斐婷</w:t>
      </w:r>
      <w:r w:rsidRPr="00E75012">
        <w:rPr>
          <w:rFonts w:ascii="Palatino Linotype" w:hAnsi="Palatino Linotype" w:cs="Times New Roman"/>
        </w:rPr>
        <w:br/>
      </w:r>
      <w:r w:rsidRPr="00E75012">
        <w:rPr>
          <w:rFonts w:ascii="Palatino Linotype" w:hAnsi="Times New Roman" w:cs="Times New Roman"/>
        </w:rPr>
        <w:t>清華大學哲學研究所助理教授</w:t>
      </w:r>
    </w:p>
    <w:p w:rsidR="00C0528C" w:rsidRPr="00E75012" w:rsidRDefault="0035697A" w:rsidP="00BA53C5">
      <w:pPr>
        <w:spacing w:before="360" w:after="360"/>
        <w:jc w:val="both"/>
        <w:rPr>
          <w:rFonts w:ascii="Palatino Linotype" w:hAnsi="Palatino Linotype" w:cs="Times New Roman"/>
        </w:rPr>
      </w:pPr>
      <w:r w:rsidRPr="00E75012">
        <w:rPr>
          <w:rFonts w:ascii="Palatino Linotype" w:hAnsi="Palatino Linotype" w:cs="Times New Roman"/>
        </w:rPr>
        <w:t>Aristotle offers five a</w:t>
      </w:r>
      <w:r w:rsidR="00BA53C5" w:rsidRPr="00E75012">
        <w:rPr>
          <w:rFonts w:ascii="Palatino Linotype" w:hAnsi="Palatino Linotype" w:cs="Times New Roman"/>
        </w:rPr>
        <w:t xml:space="preserve">nalogies </w:t>
      </w:r>
      <w:r w:rsidRPr="00E75012">
        <w:rPr>
          <w:rFonts w:ascii="Palatino Linotype" w:hAnsi="Palatino Linotype" w:cs="Times New Roman"/>
        </w:rPr>
        <w:t xml:space="preserve">(1048a37-b4) in </w:t>
      </w:r>
      <w:r w:rsidRPr="00E75012">
        <w:rPr>
          <w:rFonts w:ascii="Palatino Linotype" w:hAnsi="Palatino Linotype" w:cs="Times New Roman"/>
          <w:i/>
        </w:rPr>
        <w:t>Metaphysics</w:t>
      </w:r>
      <w:r w:rsidRPr="00E75012">
        <w:rPr>
          <w:rFonts w:ascii="Palatino Linotype" w:hAnsi="Palatino Linotype" w:cs="Times New Roman"/>
        </w:rPr>
        <w:t xml:space="preserve"> IX.6 </w:t>
      </w:r>
      <w:r w:rsidR="00BA53C5" w:rsidRPr="00E75012">
        <w:rPr>
          <w:rFonts w:ascii="Palatino Linotype" w:hAnsi="Palatino Linotype" w:cs="Times New Roman"/>
        </w:rPr>
        <w:t>to illustrate the new kind of actuality and potentiality</w:t>
      </w:r>
      <w:r w:rsidRPr="00E75012">
        <w:rPr>
          <w:rFonts w:ascii="Palatino Linotype" w:hAnsi="Palatino Linotype" w:cs="Times New Roman"/>
        </w:rPr>
        <w:t xml:space="preserve"> that he aims to </w:t>
      </w:r>
      <w:r w:rsidR="00687B11" w:rsidRPr="00E75012">
        <w:rPr>
          <w:rFonts w:ascii="Palatino Linotype" w:hAnsi="Palatino Linotype" w:cs="Times New Roman"/>
        </w:rPr>
        <w:t>establish</w:t>
      </w:r>
      <w:r w:rsidRPr="00E75012">
        <w:rPr>
          <w:rFonts w:ascii="Palatino Linotype" w:hAnsi="Palatino Linotype" w:cs="Times New Roman"/>
        </w:rPr>
        <w:t xml:space="preserve"> in </w:t>
      </w:r>
      <w:r w:rsidRPr="00E75012">
        <w:rPr>
          <w:rFonts w:ascii="Palatino Linotype" w:hAnsi="Palatino Linotype" w:cs="Times New Roman"/>
          <w:i/>
        </w:rPr>
        <w:t>Met</w:t>
      </w:r>
      <w:r w:rsidR="005D282F" w:rsidRPr="00E75012">
        <w:rPr>
          <w:rFonts w:ascii="Palatino Linotype" w:hAnsi="Palatino Linotype" w:cs="Times New Roman"/>
          <w:i/>
        </w:rPr>
        <w:t>.</w:t>
      </w:r>
      <w:r w:rsidR="007F572B" w:rsidRPr="00E75012">
        <w:rPr>
          <w:rFonts w:ascii="Palatino Linotype" w:hAnsi="Palatino Linotype" w:cs="Times New Roman"/>
        </w:rPr>
        <w:t xml:space="preserve"> </w:t>
      </w:r>
      <w:r w:rsidR="0087462C" w:rsidRPr="00E75012">
        <w:rPr>
          <w:rFonts w:ascii="Palatino Linotype" w:hAnsi="Palatino Linotype" w:cs="Times New Roman"/>
        </w:rPr>
        <w:t>IX: a</w:t>
      </w:r>
      <w:r w:rsidRPr="00E75012">
        <w:rPr>
          <w:rFonts w:ascii="Palatino Linotype" w:hAnsi="Palatino Linotype" w:cs="Times New Roman"/>
        </w:rPr>
        <w:t xml:space="preserve">ctuality stands to potentiality, just as </w:t>
      </w:r>
      <w:r w:rsidR="005D282F" w:rsidRPr="00E75012">
        <w:rPr>
          <w:rFonts w:ascii="Palatino Linotype" w:hAnsi="Palatino Linotype" w:cs="Times New Roman"/>
        </w:rPr>
        <w:t xml:space="preserve">(a) </w:t>
      </w:r>
      <w:r w:rsidRPr="00E75012">
        <w:rPr>
          <w:rFonts w:ascii="Palatino Linotype" w:hAnsi="Palatino Linotype" w:cs="Times New Roman"/>
        </w:rPr>
        <w:t xml:space="preserve">building a house stands to </w:t>
      </w:r>
      <w:r w:rsidR="005D282F" w:rsidRPr="00E75012">
        <w:rPr>
          <w:rFonts w:ascii="Palatino Linotype" w:hAnsi="Palatino Linotype" w:cs="Times New Roman"/>
        </w:rPr>
        <w:t>being capable of</w:t>
      </w:r>
      <w:r w:rsidRPr="00E75012">
        <w:rPr>
          <w:rFonts w:ascii="Palatino Linotype" w:hAnsi="Palatino Linotype" w:cs="Times New Roman"/>
        </w:rPr>
        <w:t xml:space="preserve"> build</w:t>
      </w:r>
      <w:r w:rsidR="005D282F" w:rsidRPr="00E75012">
        <w:rPr>
          <w:rFonts w:ascii="Palatino Linotype" w:hAnsi="Palatino Linotype" w:cs="Times New Roman"/>
        </w:rPr>
        <w:t>ing</w:t>
      </w:r>
      <w:r w:rsidRPr="00E75012">
        <w:rPr>
          <w:rFonts w:ascii="Palatino Linotype" w:hAnsi="Palatino Linotype" w:cs="Times New Roman"/>
        </w:rPr>
        <w:t xml:space="preserve"> a house, </w:t>
      </w:r>
      <w:r w:rsidR="005D282F" w:rsidRPr="00E75012">
        <w:rPr>
          <w:rFonts w:ascii="Palatino Linotype" w:hAnsi="Palatino Linotype" w:cs="Times New Roman"/>
        </w:rPr>
        <w:t xml:space="preserve">(b) </w:t>
      </w:r>
      <w:r w:rsidRPr="00E75012">
        <w:rPr>
          <w:rFonts w:ascii="Palatino Linotype" w:hAnsi="Palatino Linotype" w:cs="Times New Roman"/>
        </w:rPr>
        <w:t xml:space="preserve">being awake </w:t>
      </w:r>
      <w:r w:rsidR="005D282F" w:rsidRPr="00E75012">
        <w:rPr>
          <w:rFonts w:ascii="Palatino Linotype" w:hAnsi="Palatino Linotype" w:cs="Times New Roman"/>
        </w:rPr>
        <w:t xml:space="preserve">stands </w:t>
      </w:r>
      <w:r w:rsidRPr="00E75012">
        <w:rPr>
          <w:rFonts w:ascii="Palatino Linotype" w:hAnsi="Palatino Linotype" w:cs="Times New Roman"/>
        </w:rPr>
        <w:t xml:space="preserve">to being asleep, </w:t>
      </w:r>
      <w:r w:rsidR="005D282F" w:rsidRPr="00E75012">
        <w:rPr>
          <w:rFonts w:ascii="Palatino Linotype" w:hAnsi="Palatino Linotype" w:cs="Times New Roman"/>
        </w:rPr>
        <w:t xml:space="preserve">(c) </w:t>
      </w:r>
      <w:r w:rsidRPr="00E75012">
        <w:rPr>
          <w:rFonts w:ascii="Palatino Linotype" w:hAnsi="Palatino Linotype" w:cs="Times New Roman"/>
        </w:rPr>
        <w:t xml:space="preserve">seeing </w:t>
      </w:r>
      <w:r w:rsidR="005D282F" w:rsidRPr="00E75012">
        <w:rPr>
          <w:rFonts w:ascii="Palatino Linotype" w:hAnsi="Palatino Linotype" w:cs="Times New Roman"/>
        </w:rPr>
        <w:t xml:space="preserve">stands </w:t>
      </w:r>
      <w:r w:rsidRPr="00E75012">
        <w:rPr>
          <w:rFonts w:ascii="Palatino Linotype" w:hAnsi="Palatino Linotype" w:cs="Times New Roman"/>
        </w:rPr>
        <w:t xml:space="preserve">to </w:t>
      </w:r>
      <w:r w:rsidR="005D282F" w:rsidRPr="00E75012">
        <w:rPr>
          <w:rFonts w:ascii="Palatino Linotype" w:hAnsi="Palatino Linotype" w:cs="Times New Roman"/>
        </w:rPr>
        <w:t>being capable of seeing, (d) being distinguished off from the matter stands to being not distinguished off from the matter, and (e) being finished off st</w:t>
      </w:r>
      <w:r w:rsidR="007F572B" w:rsidRPr="00E75012">
        <w:rPr>
          <w:rFonts w:ascii="Palatino Linotype" w:hAnsi="Palatino Linotype" w:cs="Times New Roman"/>
        </w:rPr>
        <w:t>ands to being not finished off. Sc</w:t>
      </w:r>
      <w:r w:rsidR="005D282F" w:rsidRPr="00E75012">
        <w:rPr>
          <w:rFonts w:ascii="Palatino Linotype" w:hAnsi="Palatino Linotype" w:cs="Times New Roman"/>
        </w:rPr>
        <w:t xml:space="preserve">holars such as Stephan Makin (2009) and Jonathan </w:t>
      </w:r>
      <w:proofErr w:type="spellStart"/>
      <w:r w:rsidR="005D282F" w:rsidRPr="00E75012">
        <w:rPr>
          <w:rFonts w:ascii="Palatino Linotype" w:hAnsi="Palatino Linotype" w:cs="Times New Roman"/>
        </w:rPr>
        <w:t>Beere</w:t>
      </w:r>
      <w:proofErr w:type="spellEnd"/>
      <w:r w:rsidR="005D282F" w:rsidRPr="00E75012">
        <w:rPr>
          <w:rFonts w:ascii="Palatino Linotype" w:hAnsi="Palatino Linotype" w:cs="Times New Roman"/>
        </w:rPr>
        <w:t xml:space="preserve"> (2010)</w:t>
      </w:r>
      <w:r w:rsidR="007F572B" w:rsidRPr="00E75012">
        <w:rPr>
          <w:rFonts w:ascii="Palatino Linotype" w:hAnsi="Palatino Linotype" w:cs="Times New Roman"/>
        </w:rPr>
        <w:t>, who associate (a) (b) (c) with the</w:t>
      </w:r>
      <w:r w:rsidR="002527BE" w:rsidRPr="00E75012">
        <w:rPr>
          <w:rFonts w:ascii="Palatino Linotype" w:hAnsi="Palatino Linotype" w:cs="Times New Roman"/>
        </w:rPr>
        <w:t xml:space="preserve"> change-capacity relation and (d) (e</w:t>
      </w:r>
      <w:r w:rsidR="007F572B" w:rsidRPr="00E75012">
        <w:rPr>
          <w:rFonts w:ascii="Palatino Linotype" w:hAnsi="Palatino Linotype" w:cs="Times New Roman"/>
        </w:rPr>
        <w:t>) with the substance-matter relation,</w:t>
      </w:r>
      <w:r w:rsidR="005D282F" w:rsidRPr="00E75012">
        <w:rPr>
          <w:rFonts w:ascii="Palatino Linotype" w:hAnsi="Palatino Linotype" w:cs="Times New Roman"/>
        </w:rPr>
        <w:t xml:space="preserve"> </w:t>
      </w:r>
      <w:r w:rsidR="0087462C" w:rsidRPr="00E75012">
        <w:rPr>
          <w:rFonts w:ascii="Palatino Linotype" w:hAnsi="Palatino Linotype" w:cs="Times New Roman"/>
        </w:rPr>
        <w:t xml:space="preserve">are </w:t>
      </w:r>
      <w:r w:rsidR="007F572B" w:rsidRPr="00E75012">
        <w:rPr>
          <w:rFonts w:ascii="Palatino Linotype" w:hAnsi="Palatino Linotype" w:cs="Times New Roman"/>
        </w:rPr>
        <w:t>pessimistic about discovering one</w:t>
      </w:r>
      <w:r w:rsidR="004360DC" w:rsidRPr="00E75012">
        <w:rPr>
          <w:rFonts w:ascii="Palatino Linotype" w:hAnsi="Palatino Linotype" w:cs="Times New Roman"/>
        </w:rPr>
        <w:t xml:space="preserve"> unifying </w:t>
      </w:r>
      <w:r w:rsidR="0087462C" w:rsidRPr="00E75012">
        <w:rPr>
          <w:rFonts w:ascii="Palatino Linotype" w:hAnsi="Palatino Linotype" w:cs="Times New Roman"/>
        </w:rPr>
        <w:t>account</w:t>
      </w:r>
      <w:r w:rsidR="004360DC" w:rsidRPr="00E75012">
        <w:rPr>
          <w:rFonts w:ascii="Palatino Linotype" w:hAnsi="Palatino Linotype" w:cs="Times New Roman"/>
        </w:rPr>
        <w:t xml:space="preserve"> of the new kind of actuality and potentiality</w:t>
      </w:r>
      <w:r w:rsidR="007F572B" w:rsidRPr="00E75012">
        <w:rPr>
          <w:rFonts w:ascii="Palatino Linotype" w:hAnsi="Palatino Linotype" w:cs="Times New Roman"/>
        </w:rPr>
        <w:t>.</w:t>
      </w:r>
      <w:r w:rsidR="004360DC" w:rsidRPr="00E75012">
        <w:rPr>
          <w:rFonts w:ascii="Palatino Linotype" w:hAnsi="Palatino Linotype" w:cs="Times New Roman"/>
        </w:rPr>
        <w:t xml:space="preserve"> </w:t>
      </w:r>
      <w:r w:rsidR="007C7F18" w:rsidRPr="00E75012">
        <w:rPr>
          <w:rFonts w:ascii="Palatino Linotype" w:hAnsi="Palatino Linotype" w:cs="Times New Roman"/>
        </w:rPr>
        <w:t xml:space="preserve">In this paper I refute this </w:t>
      </w:r>
      <w:r w:rsidR="0087462C" w:rsidRPr="00E75012">
        <w:rPr>
          <w:rFonts w:ascii="Palatino Linotype" w:hAnsi="Palatino Linotype" w:cs="Times New Roman"/>
        </w:rPr>
        <w:t xml:space="preserve">pessimistic </w:t>
      </w:r>
      <w:r w:rsidR="007C7F18" w:rsidRPr="00E75012">
        <w:rPr>
          <w:rFonts w:ascii="Palatino Linotype" w:hAnsi="Palatino Linotype" w:cs="Times New Roman"/>
        </w:rPr>
        <w:t xml:space="preserve">view and seek </w:t>
      </w:r>
      <w:r w:rsidR="007F572B" w:rsidRPr="00E75012">
        <w:rPr>
          <w:rFonts w:ascii="Palatino Linotype" w:hAnsi="Palatino Linotype" w:cs="Times New Roman"/>
        </w:rPr>
        <w:t>to interpret the five analogies in one</w:t>
      </w:r>
      <w:r w:rsidR="007C7F18" w:rsidRPr="00E75012">
        <w:rPr>
          <w:rFonts w:ascii="Palatino Linotype" w:hAnsi="Palatino Linotype" w:cs="Times New Roman"/>
        </w:rPr>
        <w:t xml:space="preserve"> unifying account</w:t>
      </w:r>
      <w:r w:rsidR="0087462C" w:rsidRPr="00E75012">
        <w:rPr>
          <w:rFonts w:ascii="Palatino Linotype" w:hAnsi="Palatino Linotype" w:cs="Times New Roman"/>
        </w:rPr>
        <w:t xml:space="preserve"> instead</w:t>
      </w:r>
      <w:r w:rsidR="004360DC" w:rsidRPr="00E75012">
        <w:rPr>
          <w:rFonts w:ascii="Palatino Linotype" w:hAnsi="Palatino Linotype" w:cs="Times New Roman"/>
        </w:rPr>
        <w:t xml:space="preserve">. </w:t>
      </w:r>
      <w:r w:rsidR="0087462C" w:rsidRPr="00E75012">
        <w:rPr>
          <w:rFonts w:ascii="Palatino Linotype" w:hAnsi="Palatino Linotype" w:cs="Times New Roman"/>
        </w:rPr>
        <w:t>I argue that both</w:t>
      </w:r>
      <w:r w:rsidR="007F572B" w:rsidRPr="00E75012">
        <w:rPr>
          <w:rFonts w:ascii="Palatino Linotype" w:hAnsi="Palatino Linotype" w:cs="Times New Roman"/>
        </w:rPr>
        <w:t xml:space="preserve"> </w:t>
      </w:r>
      <w:r w:rsidR="00B64177" w:rsidRPr="00E75012">
        <w:rPr>
          <w:rFonts w:ascii="Palatino Linotype" w:hAnsi="Palatino Linotype" w:cs="Times New Roman"/>
        </w:rPr>
        <w:t>those</w:t>
      </w:r>
      <w:r w:rsidR="00BA53C5" w:rsidRPr="00E75012">
        <w:rPr>
          <w:rFonts w:ascii="Palatino Linotype" w:hAnsi="Palatino Linotype" w:cs="Times New Roman"/>
        </w:rPr>
        <w:t xml:space="preserve"> involved </w:t>
      </w:r>
      <w:r w:rsidR="007F572B" w:rsidRPr="00E75012">
        <w:rPr>
          <w:rFonts w:ascii="Palatino Linotype" w:hAnsi="Palatino Linotype" w:cs="Times New Roman"/>
        </w:rPr>
        <w:t xml:space="preserve">with </w:t>
      </w:r>
      <w:r w:rsidR="00BA53C5" w:rsidRPr="00E75012">
        <w:rPr>
          <w:rFonts w:ascii="Palatino Linotype" w:hAnsi="Palatino Linotype" w:cs="Times New Roman"/>
        </w:rPr>
        <w:t>the</w:t>
      </w:r>
      <w:r w:rsidR="004360DC" w:rsidRPr="00E75012">
        <w:rPr>
          <w:rFonts w:ascii="Palatino Linotype" w:hAnsi="Palatino Linotype" w:cs="Times New Roman"/>
        </w:rPr>
        <w:t xml:space="preserve"> so-called</w:t>
      </w:r>
      <w:r w:rsidR="00BA53C5" w:rsidRPr="00E75012">
        <w:rPr>
          <w:rFonts w:ascii="Palatino Linotype" w:hAnsi="Palatino Linotype" w:cs="Times New Roman"/>
        </w:rPr>
        <w:t xml:space="preserve"> change-capacity </w:t>
      </w:r>
      <w:r w:rsidR="007F572B" w:rsidRPr="00E75012">
        <w:rPr>
          <w:rFonts w:ascii="Palatino Linotype" w:hAnsi="Palatino Linotype" w:cs="Times New Roman"/>
        </w:rPr>
        <w:t>relation and those involved with the so-called substance-matter relation</w:t>
      </w:r>
      <w:r w:rsidR="007C7F18" w:rsidRPr="00E75012">
        <w:rPr>
          <w:rFonts w:ascii="Palatino Linotype" w:hAnsi="Palatino Linotype" w:cs="Times New Roman"/>
        </w:rPr>
        <w:t xml:space="preserve"> </w:t>
      </w:r>
      <w:r w:rsidR="00BA53C5" w:rsidRPr="00E75012">
        <w:rPr>
          <w:rFonts w:ascii="Palatino Linotype" w:hAnsi="Palatino Linotype" w:cs="Times New Roman"/>
        </w:rPr>
        <w:t xml:space="preserve">present a </w:t>
      </w:r>
      <w:r w:rsidR="007C7F18" w:rsidRPr="00E75012">
        <w:rPr>
          <w:rFonts w:ascii="Palatino Linotype" w:hAnsi="Palatino Linotype" w:cs="Times New Roman"/>
        </w:rPr>
        <w:t>double-characteriza</w:t>
      </w:r>
      <w:r w:rsidR="0087462C" w:rsidRPr="00E75012">
        <w:rPr>
          <w:rFonts w:ascii="Palatino Linotype" w:hAnsi="Palatino Linotype" w:cs="Times New Roman"/>
        </w:rPr>
        <w:t xml:space="preserve">tion </w:t>
      </w:r>
      <w:r w:rsidR="00BA53C5" w:rsidRPr="00E75012">
        <w:rPr>
          <w:rFonts w:ascii="Palatino Linotype" w:hAnsi="Palatino Linotype" w:cs="Times New Roman"/>
        </w:rPr>
        <w:t xml:space="preserve">that </w:t>
      </w:r>
      <w:r w:rsidR="00B64177" w:rsidRPr="00E75012">
        <w:rPr>
          <w:rFonts w:ascii="Palatino Linotype" w:hAnsi="Palatino Linotype" w:cs="Times New Roman"/>
        </w:rPr>
        <w:t xml:space="preserve">all </w:t>
      </w:r>
      <w:r w:rsidR="00BA53C5" w:rsidRPr="00E75012">
        <w:rPr>
          <w:rFonts w:ascii="Palatino Linotype" w:hAnsi="Palatino Linotype" w:cs="Times New Roman"/>
        </w:rPr>
        <w:t xml:space="preserve">the </w:t>
      </w:r>
      <w:r w:rsidR="007F572B" w:rsidRPr="00E75012">
        <w:rPr>
          <w:rFonts w:ascii="Palatino Linotype" w:hAnsi="Palatino Linotype" w:cs="Times New Roman"/>
        </w:rPr>
        <w:t>five a</w:t>
      </w:r>
      <w:r w:rsidR="007C7F18" w:rsidRPr="00E75012">
        <w:rPr>
          <w:rFonts w:ascii="Palatino Linotype" w:hAnsi="Palatino Linotype" w:cs="Times New Roman"/>
        </w:rPr>
        <w:t>nalogies</w:t>
      </w:r>
      <w:r w:rsidR="00BA53C5" w:rsidRPr="00E75012">
        <w:rPr>
          <w:rFonts w:ascii="Palatino Linotype" w:hAnsi="Palatino Linotype" w:cs="Times New Roman"/>
        </w:rPr>
        <w:t xml:space="preserve"> </w:t>
      </w:r>
      <w:r w:rsidR="0087462C" w:rsidRPr="00E75012">
        <w:rPr>
          <w:rFonts w:ascii="Palatino Linotype" w:hAnsi="Palatino Linotype" w:cs="Times New Roman"/>
        </w:rPr>
        <w:t>are</w:t>
      </w:r>
      <w:r w:rsidR="00BA53C5" w:rsidRPr="00E75012">
        <w:rPr>
          <w:rFonts w:ascii="Palatino Linotype" w:hAnsi="Palatino Linotype" w:cs="Times New Roman"/>
        </w:rPr>
        <w:t xml:space="preserve"> composed of</w:t>
      </w:r>
      <w:r w:rsidR="007C7F18" w:rsidRPr="00E75012">
        <w:rPr>
          <w:rFonts w:ascii="Palatino Linotype" w:hAnsi="Palatino Linotype" w:cs="Times New Roman"/>
        </w:rPr>
        <w:t>. While the first tier stands</w:t>
      </w:r>
      <w:r w:rsidR="00BA53C5" w:rsidRPr="00E75012">
        <w:rPr>
          <w:rFonts w:ascii="Palatino Linotype" w:hAnsi="Palatino Linotype" w:cs="Times New Roman"/>
        </w:rPr>
        <w:t xml:space="preserve"> the relation of change (</w:t>
      </w:r>
      <w:r w:rsidR="00BA53C5" w:rsidRPr="00E75012">
        <w:rPr>
          <w:rFonts w:ascii="Palatino Linotype" w:hAnsi="Palatino Linotype" w:cs="Times New Roman"/>
          <w:noProof/>
          <w:color w:val="000000"/>
          <w:lang w:val="el-GR"/>
        </w:rPr>
        <w:t>κίνησις</w:t>
      </w:r>
      <w:r w:rsidR="00BA53C5" w:rsidRPr="00E75012">
        <w:rPr>
          <w:rFonts w:ascii="Palatino Linotype" w:hAnsi="Palatino Linotype" w:cs="Times New Roman"/>
          <w:noProof/>
          <w:color w:val="000000"/>
        </w:rPr>
        <w:t>)</w:t>
      </w:r>
      <w:r w:rsidR="00BA53C5" w:rsidRPr="00E75012">
        <w:rPr>
          <w:rFonts w:ascii="Palatino Linotype" w:hAnsi="Palatino Linotype" w:cs="Times New Roman"/>
        </w:rPr>
        <w:t xml:space="preserve"> to the correspond</w:t>
      </w:r>
      <w:r w:rsidR="007C7F18" w:rsidRPr="00E75012">
        <w:rPr>
          <w:rFonts w:ascii="Palatino Linotype" w:hAnsi="Palatino Linotype" w:cs="Times New Roman"/>
        </w:rPr>
        <w:t>ing capacity, the second tier stands</w:t>
      </w:r>
      <w:r w:rsidR="00BA53C5" w:rsidRPr="00E75012">
        <w:rPr>
          <w:rFonts w:ascii="Palatino Linotype" w:hAnsi="Palatino Linotype" w:cs="Times New Roman"/>
        </w:rPr>
        <w:t xml:space="preserve"> the relation of exercise (</w:t>
      </w:r>
      <w:proofErr w:type="spellStart"/>
      <w:r w:rsidR="00BA53C5" w:rsidRPr="00E75012">
        <w:rPr>
          <w:rStyle w:val="txt"/>
          <w:rFonts w:ascii="Palatino Linotype" w:hAnsi="Palatino Linotype" w:cs="Times New Roman"/>
        </w:rPr>
        <w:t>χρῆσις</w:t>
      </w:r>
      <w:proofErr w:type="spellEnd"/>
      <w:r w:rsidR="00BA53C5" w:rsidRPr="00E75012">
        <w:rPr>
          <w:rStyle w:val="txt"/>
          <w:rFonts w:ascii="Palatino Linotype" w:hAnsi="Palatino Linotype" w:cs="Times New Roman"/>
        </w:rPr>
        <w:t>)</w:t>
      </w:r>
      <w:r w:rsidR="00BA53C5" w:rsidRPr="00E75012">
        <w:rPr>
          <w:rFonts w:ascii="Palatino Linotype" w:hAnsi="Palatino Linotype" w:cs="Times New Roman"/>
        </w:rPr>
        <w:t xml:space="preserve"> to the possession of one’s own nature or a certain craft.</w:t>
      </w:r>
    </w:p>
    <w:p w:rsidR="00E75012" w:rsidRPr="00E75012" w:rsidRDefault="00E75012" w:rsidP="00BA53C5">
      <w:pPr>
        <w:spacing w:before="360" w:after="360"/>
        <w:jc w:val="both"/>
        <w:rPr>
          <w:rFonts w:ascii="Palatino Linotype" w:hAnsi="Palatino Linotype" w:cs="Times New Roman"/>
        </w:rPr>
      </w:pPr>
      <w:r w:rsidRPr="00E75012">
        <w:rPr>
          <w:rFonts w:ascii="Palatino Linotype" w:hAnsi="Palatino Linotype" w:cs="Times New Roman"/>
        </w:rPr>
        <w:t>Keywords: Aristotle, Metaphysics, Actuality, Potentiality</w:t>
      </w:r>
      <w:r>
        <w:rPr>
          <w:rFonts w:ascii="Palatino Linotype" w:hAnsi="Palatino Linotype" w:cs="Times New Roman"/>
        </w:rPr>
        <w:t>, Change, Exercise</w:t>
      </w:r>
      <w:r w:rsidRPr="00E75012">
        <w:rPr>
          <w:rFonts w:ascii="Palatino Linotype" w:hAnsi="Palatino Linotype" w:cs="Times New Roman"/>
        </w:rPr>
        <w:t xml:space="preserve">. </w:t>
      </w:r>
    </w:p>
    <w:p w:rsidR="00E75012" w:rsidRDefault="00E75012" w:rsidP="00BA53C5">
      <w:pPr>
        <w:spacing w:before="360" w:after="360"/>
        <w:jc w:val="both"/>
        <w:rPr>
          <w:rFonts w:ascii="Palatino Linotype" w:hAnsi="Palatino Linotype" w:cs="Times New Roman"/>
        </w:rPr>
      </w:pPr>
    </w:p>
    <w:p w:rsidR="00E75012" w:rsidRPr="00E75012" w:rsidRDefault="00E75012" w:rsidP="00BA53C5">
      <w:pPr>
        <w:spacing w:before="360" w:after="360"/>
        <w:jc w:val="both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Main </w:t>
      </w:r>
      <w:r w:rsidRPr="00E75012">
        <w:rPr>
          <w:rFonts w:ascii="Palatino Linotype" w:hAnsi="Palatino Linotype" w:cs="Times New Roman"/>
        </w:rPr>
        <w:t xml:space="preserve">References: </w:t>
      </w:r>
    </w:p>
    <w:p w:rsidR="00E75012" w:rsidRPr="00E75012" w:rsidRDefault="00522476" w:rsidP="00E75012">
      <w:pPr>
        <w:autoSpaceDE w:val="0"/>
        <w:autoSpaceDN w:val="0"/>
        <w:adjustRightInd w:val="0"/>
        <w:spacing w:before="120" w:after="120"/>
        <w:ind w:left="720" w:hanging="720"/>
        <w:rPr>
          <w:rFonts w:ascii="Palatino Linotype" w:hAnsi="Palatino Linotype" w:cs="Times New Roman"/>
          <w:szCs w:val="24"/>
        </w:rPr>
      </w:pPr>
      <w:proofErr w:type="spellStart"/>
      <w:r>
        <w:rPr>
          <w:rFonts w:ascii="Palatino Linotype" w:hAnsi="Palatino Linotype" w:cs="Times New Roman"/>
          <w:szCs w:val="24"/>
        </w:rPr>
        <w:t>Beere</w:t>
      </w:r>
      <w:proofErr w:type="spellEnd"/>
      <w:r>
        <w:rPr>
          <w:rFonts w:ascii="Palatino Linotype" w:hAnsi="Palatino Linotype" w:cs="Times New Roman"/>
          <w:szCs w:val="24"/>
        </w:rPr>
        <w:t>, Jonathan</w:t>
      </w:r>
      <w:r w:rsidR="00E75012" w:rsidRPr="00E75012">
        <w:rPr>
          <w:rFonts w:ascii="Palatino Linotype" w:hAnsi="Palatino Linotype" w:cs="Times New Roman"/>
          <w:szCs w:val="24"/>
        </w:rPr>
        <w:t xml:space="preserve">. 2009. </w:t>
      </w:r>
      <w:r w:rsidR="00E75012" w:rsidRPr="00E75012">
        <w:rPr>
          <w:rFonts w:ascii="Palatino Linotype" w:hAnsi="Palatino Linotype" w:cs="Times New Roman"/>
          <w:i/>
          <w:iCs/>
          <w:szCs w:val="24"/>
        </w:rPr>
        <w:t xml:space="preserve">Doing and </w:t>
      </w:r>
      <w:proofErr w:type="gramStart"/>
      <w:r w:rsidR="00E75012" w:rsidRPr="00E75012">
        <w:rPr>
          <w:rFonts w:ascii="Palatino Linotype" w:hAnsi="Palatino Linotype" w:cs="Times New Roman"/>
          <w:i/>
          <w:iCs/>
          <w:szCs w:val="24"/>
        </w:rPr>
        <w:t>Being :</w:t>
      </w:r>
      <w:proofErr w:type="gramEnd"/>
      <w:r w:rsidR="00E75012" w:rsidRPr="00E75012">
        <w:rPr>
          <w:rFonts w:ascii="Palatino Linotype" w:hAnsi="Palatino Linotype" w:cs="Times New Roman"/>
          <w:i/>
          <w:iCs/>
          <w:szCs w:val="24"/>
        </w:rPr>
        <w:t xml:space="preserve"> an Interpretation of Aristotle's Metaphysics theta</w:t>
      </w:r>
      <w:r w:rsidR="00E75012" w:rsidRPr="00E75012">
        <w:rPr>
          <w:rFonts w:ascii="Palatino Linotype" w:hAnsi="Palatino Linotype" w:cs="Times New Roman"/>
          <w:szCs w:val="24"/>
        </w:rPr>
        <w:t xml:space="preserve">, </w:t>
      </w:r>
      <w:r w:rsidR="00E75012" w:rsidRPr="00E75012">
        <w:rPr>
          <w:rFonts w:ascii="Palatino Linotype" w:hAnsi="Palatino Linotype" w:cs="Times New Roman"/>
          <w:i/>
          <w:iCs/>
          <w:szCs w:val="24"/>
        </w:rPr>
        <w:t>Oxford Aristotle studies</w:t>
      </w:r>
      <w:r w:rsidR="00E75012" w:rsidRPr="00E75012">
        <w:rPr>
          <w:rFonts w:ascii="Palatino Linotype" w:hAnsi="Palatino Linotype" w:cs="Times New Roman"/>
          <w:szCs w:val="24"/>
        </w:rPr>
        <w:t>. Oxford: Oxford University Press.</w:t>
      </w:r>
    </w:p>
    <w:p w:rsidR="00E75012" w:rsidRPr="00E75012" w:rsidRDefault="00E75012" w:rsidP="00E75012">
      <w:pPr>
        <w:autoSpaceDE w:val="0"/>
        <w:autoSpaceDN w:val="0"/>
        <w:adjustRightInd w:val="0"/>
        <w:spacing w:before="120" w:after="120"/>
        <w:ind w:left="720" w:hanging="720"/>
        <w:rPr>
          <w:rFonts w:ascii="Palatino Linotype" w:hAnsi="Palatino Linotype" w:cs="Times New Roman"/>
          <w:szCs w:val="24"/>
        </w:rPr>
      </w:pPr>
      <w:proofErr w:type="gramStart"/>
      <w:r w:rsidRPr="00E75012">
        <w:rPr>
          <w:rFonts w:ascii="Palatino Linotype" w:hAnsi="Palatino Linotype" w:cs="Times New Roman"/>
          <w:szCs w:val="24"/>
        </w:rPr>
        <w:t>Makin, Stephen.</w:t>
      </w:r>
      <w:proofErr w:type="gramEnd"/>
      <w:r w:rsidRPr="00E75012">
        <w:rPr>
          <w:rFonts w:ascii="Palatino Linotype" w:hAnsi="Palatino Linotype" w:cs="Times New Roman"/>
          <w:szCs w:val="24"/>
        </w:rPr>
        <w:t xml:space="preserve"> </w:t>
      </w:r>
      <w:proofErr w:type="gramStart"/>
      <w:r w:rsidRPr="00E75012">
        <w:rPr>
          <w:rFonts w:ascii="Palatino Linotype" w:hAnsi="Palatino Linotype" w:cs="Times New Roman"/>
          <w:szCs w:val="24"/>
        </w:rPr>
        <w:t xml:space="preserve">2006. </w:t>
      </w:r>
      <w:r w:rsidRPr="00E75012">
        <w:rPr>
          <w:rFonts w:ascii="Palatino Linotype" w:hAnsi="Palatino Linotype" w:cs="Times New Roman"/>
          <w:i/>
          <w:iCs/>
          <w:szCs w:val="24"/>
        </w:rPr>
        <w:t>Aristotle Metaphysics Book Theta</w:t>
      </w:r>
      <w:r w:rsidRPr="00E75012">
        <w:rPr>
          <w:rFonts w:ascii="Palatino Linotype" w:hAnsi="Palatino Linotype" w:cs="Times New Roman"/>
          <w:szCs w:val="24"/>
        </w:rPr>
        <w:t>.</w:t>
      </w:r>
      <w:proofErr w:type="gramEnd"/>
      <w:r w:rsidRPr="00E75012">
        <w:rPr>
          <w:rFonts w:ascii="Palatino Linotype" w:hAnsi="Palatino Linotype" w:cs="Times New Roman"/>
          <w:szCs w:val="24"/>
        </w:rPr>
        <w:t xml:space="preserve"> </w:t>
      </w:r>
      <w:proofErr w:type="gramStart"/>
      <w:r w:rsidRPr="00E75012">
        <w:rPr>
          <w:rFonts w:ascii="Palatino Linotype" w:hAnsi="Palatino Linotype" w:cs="Times New Roman"/>
          <w:iCs/>
          <w:szCs w:val="24"/>
        </w:rPr>
        <w:t>Clarendon Aristotle Series</w:t>
      </w:r>
      <w:r w:rsidRPr="00E75012">
        <w:rPr>
          <w:rFonts w:ascii="Palatino Linotype" w:hAnsi="Palatino Linotype" w:cs="Times New Roman"/>
          <w:szCs w:val="24"/>
        </w:rPr>
        <w:t>.</w:t>
      </w:r>
      <w:proofErr w:type="gramEnd"/>
      <w:r w:rsidRPr="00E75012">
        <w:rPr>
          <w:rFonts w:ascii="Palatino Linotype" w:hAnsi="Palatino Linotype" w:cs="Times New Roman"/>
          <w:szCs w:val="24"/>
        </w:rPr>
        <w:t xml:space="preserve"> Oxford: Clarendon Press.</w:t>
      </w:r>
    </w:p>
    <w:sectPr w:rsidR="00E75012" w:rsidRPr="00E75012" w:rsidSect="00C052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53C5"/>
    <w:rsid w:val="00152743"/>
    <w:rsid w:val="001C4AB4"/>
    <w:rsid w:val="002527BE"/>
    <w:rsid w:val="0035697A"/>
    <w:rsid w:val="003F2FDC"/>
    <w:rsid w:val="00405CF7"/>
    <w:rsid w:val="004360DC"/>
    <w:rsid w:val="00461224"/>
    <w:rsid w:val="004E593A"/>
    <w:rsid w:val="00522476"/>
    <w:rsid w:val="005D282F"/>
    <w:rsid w:val="00687B11"/>
    <w:rsid w:val="006F6737"/>
    <w:rsid w:val="007C7F18"/>
    <w:rsid w:val="007F572B"/>
    <w:rsid w:val="0087462C"/>
    <w:rsid w:val="00B64177"/>
    <w:rsid w:val="00BA53C5"/>
    <w:rsid w:val="00BA7620"/>
    <w:rsid w:val="00BF687F"/>
    <w:rsid w:val="00C0528C"/>
    <w:rsid w:val="00CF338E"/>
    <w:rsid w:val="00E75012"/>
    <w:rsid w:val="00FD3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8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">
    <w:name w:val="txt"/>
    <w:basedOn w:val="DefaultParagraphFont"/>
    <w:rsid w:val="00BA5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Fei-Ting Chen</dc:creator>
  <cp:lastModifiedBy>Fei-Ting Chen</cp:lastModifiedBy>
  <cp:revision>2</cp:revision>
  <cp:lastPrinted>2013-12-15T13:13:00Z</cp:lastPrinted>
  <dcterms:created xsi:type="dcterms:W3CDTF">2014-08-31T05:59:00Z</dcterms:created>
  <dcterms:modified xsi:type="dcterms:W3CDTF">2014-08-31T05:59:00Z</dcterms:modified>
</cp:coreProperties>
</file>